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E6" w:rsidRPr="00292FE6" w:rsidRDefault="00292FE6" w:rsidP="00292FE6">
      <w:pPr>
        <w:jc w:val="center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lang w:val="bg-BG"/>
        </w:rPr>
        <w:t xml:space="preserve">ТЕМИ И ПРОБЛЕМАТИКИ </w:t>
      </w:r>
    </w:p>
    <w:p w:rsidR="00292FE6" w:rsidRPr="00292FE6" w:rsidRDefault="00292FE6" w:rsidP="00292FE6">
      <w:pPr>
        <w:spacing w:after="120"/>
        <w:jc w:val="center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lang w:val="bg-BG"/>
        </w:rPr>
        <w:t>пред българската минерално-суровинна индустрия</w:t>
      </w:r>
    </w:p>
    <w:p w:rsidR="00292FE6" w:rsidRPr="00292FE6" w:rsidRDefault="00292FE6" w:rsidP="00292FE6">
      <w:pPr>
        <w:spacing w:before="120"/>
        <w:jc w:val="center"/>
        <w:rPr>
          <w:rFonts w:ascii="Arial" w:hAnsi="Arial" w:cs="Arial"/>
          <w:i/>
          <w:lang w:val="bg-BG"/>
        </w:rPr>
      </w:pPr>
      <w:r w:rsidRPr="00292FE6">
        <w:rPr>
          <w:rFonts w:ascii="Arial" w:hAnsi="Arial" w:cs="Arial"/>
          <w:i/>
          <w:lang w:val="bg-BG"/>
        </w:rPr>
        <w:t xml:space="preserve"> (проф. дтн инж. Николай Вълканов)</w:t>
      </w:r>
    </w:p>
    <w:p w:rsidR="00292FE6" w:rsidRPr="00292FE6" w:rsidRDefault="00292FE6" w:rsidP="00292FE6">
      <w:pPr>
        <w:jc w:val="center"/>
        <w:rPr>
          <w:rFonts w:ascii="Arial" w:hAnsi="Arial" w:cs="Arial"/>
          <w:lang w:val="bg-BG"/>
        </w:rPr>
      </w:pPr>
    </w:p>
    <w:p w:rsidR="00292FE6" w:rsidRPr="00292FE6" w:rsidRDefault="00292FE6" w:rsidP="00292FE6">
      <w:pPr>
        <w:jc w:val="center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lang w:val="bg-BG"/>
        </w:rPr>
        <w:t>Среща с българските евродепутати, 20.01.2020 г.</w:t>
      </w:r>
    </w:p>
    <w:p w:rsidR="00292FE6" w:rsidRPr="00292FE6" w:rsidRDefault="00292FE6" w:rsidP="00292FE6">
      <w:pPr>
        <w:ind w:firstLine="708"/>
        <w:jc w:val="center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b/>
          <w:lang w:val="bg-BG"/>
        </w:rPr>
        <w:t xml:space="preserve">Българската минно-геоложка камара (БМГК) </w:t>
      </w:r>
      <w:r w:rsidRPr="00292FE6">
        <w:rPr>
          <w:rFonts w:ascii="Arial" w:hAnsi="Arial" w:cs="Arial"/>
          <w:lang w:val="bg-BG"/>
        </w:rPr>
        <w:t xml:space="preserve">е национално представителна организация на бизнеса в областта на добива на подземни богатства и свързаните с това дейности в България, учредена през 1991 г. Към момента </w:t>
      </w:r>
      <w:r w:rsidRPr="00292FE6">
        <w:rPr>
          <w:rFonts w:ascii="Arial" w:hAnsi="Arial" w:cs="Arial"/>
          <w:b/>
          <w:lang w:val="bg-BG"/>
        </w:rPr>
        <w:t>тя обединява 116 дружества и организации</w:t>
      </w:r>
      <w:r w:rsidRPr="00292FE6">
        <w:rPr>
          <w:rFonts w:ascii="Arial" w:hAnsi="Arial" w:cs="Arial"/>
          <w:lang w:val="bg-BG"/>
        </w:rPr>
        <w:t xml:space="preserve"> от осем </w:t>
      </w:r>
      <w:proofErr w:type="spellStart"/>
      <w:r w:rsidRPr="00292FE6">
        <w:rPr>
          <w:rFonts w:ascii="Arial" w:hAnsi="Arial" w:cs="Arial"/>
          <w:lang w:val="bg-BG"/>
        </w:rPr>
        <w:t>подбранша</w:t>
      </w:r>
      <w:proofErr w:type="spellEnd"/>
      <w:r w:rsidRPr="00292FE6">
        <w:rPr>
          <w:rFonts w:ascii="Arial" w:hAnsi="Arial" w:cs="Arial"/>
          <w:lang w:val="bg-BG"/>
        </w:rPr>
        <w:t xml:space="preserve"> на </w:t>
      </w:r>
      <w:proofErr w:type="spellStart"/>
      <w:r w:rsidRPr="00292FE6">
        <w:rPr>
          <w:rFonts w:ascii="Arial" w:hAnsi="Arial" w:cs="Arial"/>
          <w:lang w:val="bg-BG"/>
        </w:rPr>
        <w:t>добивния</w:t>
      </w:r>
      <w:proofErr w:type="spellEnd"/>
      <w:r w:rsidRPr="00292FE6">
        <w:rPr>
          <w:rFonts w:ascii="Arial" w:hAnsi="Arial" w:cs="Arial"/>
          <w:lang w:val="bg-BG"/>
        </w:rPr>
        <w:t xml:space="preserve"> сектор в България. Камарата е член на КРИБ, на БСК, на Европейската асоциация на минната промишленост, металните руди и промишлените материали ЕВРОМИН и на Европейската асоциация за въглища и </w:t>
      </w:r>
      <w:proofErr w:type="spellStart"/>
      <w:r w:rsidRPr="00292FE6">
        <w:rPr>
          <w:rFonts w:ascii="Arial" w:hAnsi="Arial" w:cs="Arial"/>
          <w:lang w:val="bg-BG"/>
        </w:rPr>
        <w:t>лигнити</w:t>
      </w:r>
      <w:proofErr w:type="spellEnd"/>
      <w:r w:rsidRPr="00292FE6">
        <w:rPr>
          <w:rFonts w:ascii="Arial" w:hAnsi="Arial" w:cs="Arial"/>
          <w:lang w:val="bg-BG"/>
        </w:rPr>
        <w:t xml:space="preserve"> ЕВРAКОЛ. БМГК подкрепя Глобалния договор на ООН и е активен член на Българската мрежа на ГД на ООН. Мисията на БМГК е да защитава интересите на своите членове в съответствие с принципите на пазарната икономика, устойчивото развитие и етичните норми и стремейки се към основната си визия.</w:t>
      </w:r>
    </w:p>
    <w:p w:rsidR="00292FE6" w:rsidRPr="00292FE6" w:rsidRDefault="00292FE6" w:rsidP="00292FE6">
      <w:pPr>
        <w:autoSpaceDE w:val="0"/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b/>
          <w:lang w:val="bg-BG"/>
        </w:rPr>
        <w:t>Основните суровини</w:t>
      </w:r>
      <w:r w:rsidRPr="00292FE6">
        <w:rPr>
          <w:rFonts w:ascii="Arial" w:hAnsi="Arial" w:cs="Arial"/>
          <w:lang w:val="bg-BG"/>
        </w:rPr>
        <w:t xml:space="preserve">, които се добиват в България са лигнитни въглища, оловно-цинкови, медни и полиметални руди и концентрати, гипс, варовик, </w:t>
      </w:r>
      <w:proofErr w:type="spellStart"/>
      <w:r w:rsidRPr="00292FE6">
        <w:rPr>
          <w:rFonts w:ascii="Arial" w:hAnsi="Arial" w:cs="Arial"/>
          <w:lang w:val="bg-BG"/>
        </w:rPr>
        <w:t>бентонит</w:t>
      </w:r>
      <w:proofErr w:type="spellEnd"/>
      <w:r w:rsidRPr="00292FE6">
        <w:rPr>
          <w:rFonts w:ascii="Arial" w:hAnsi="Arial" w:cs="Arial"/>
          <w:lang w:val="bg-BG"/>
        </w:rPr>
        <w:t>, каолин, кварцови пясъци, огнеупорни глини, мрамор.</w:t>
      </w:r>
    </w:p>
    <w:p w:rsidR="00292FE6" w:rsidRPr="00292FE6" w:rsidRDefault="00292FE6" w:rsidP="00292FE6">
      <w:pPr>
        <w:autoSpaceDE w:val="0"/>
        <w:jc w:val="both"/>
        <w:rPr>
          <w:rFonts w:ascii="Arial" w:hAnsi="Arial" w:cs="Arial"/>
          <w:lang w:val="bg-BG"/>
        </w:rPr>
      </w:pPr>
    </w:p>
    <w:p w:rsidR="00292FE6" w:rsidRPr="00292FE6" w:rsidRDefault="00292FE6" w:rsidP="00292FE6">
      <w:pPr>
        <w:autoSpaceDE w:val="0"/>
        <w:jc w:val="center"/>
        <w:rPr>
          <w:rFonts w:ascii="Arial" w:hAnsi="Arial" w:cs="Arial"/>
          <w:b/>
          <w:i/>
          <w:color w:val="000000"/>
          <w:u w:val="single"/>
          <w:lang w:val="bg-BG"/>
        </w:rPr>
      </w:pPr>
      <w:r w:rsidRPr="00292FE6">
        <w:rPr>
          <w:rFonts w:ascii="Arial" w:eastAsia="Times New Roman" w:hAnsi="Arial" w:cs="Arial"/>
          <w:b/>
          <w:i/>
          <w:color w:val="000000"/>
          <w:u w:val="single"/>
          <w:lang w:val="bg-BG"/>
        </w:rPr>
        <w:t>Икономически п</w:t>
      </w:r>
      <w:r w:rsidRPr="00292FE6">
        <w:rPr>
          <w:rFonts w:ascii="Arial" w:hAnsi="Arial" w:cs="Arial"/>
          <w:b/>
          <w:i/>
          <w:color w:val="000000"/>
          <w:u w:val="single"/>
          <w:lang w:val="bg-BG"/>
        </w:rPr>
        <w:t>оказатели за минната индустрия</w:t>
      </w:r>
    </w:p>
    <w:p w:rsidR="00292FE6" w:rsidRPr="00292FE6" w:rsidRDefault="00292FE6" w:rsidP="00292FE6">
      <w:pPr>
        <w:autoSpaceDE w:val="0"/>
        <w:jc w:val="center"/>
        <w:rPr>
          <w:rFonts w:ascii="Arial" w:hAnsi="Arial" w:cs="Arial"/>
          <w:b/>
          <w:i/>
          <w:color w:val="000000"/>
          <w:lang w:val="bg-BG"/>
        </w:rPr>
      </w:pPr>
    </w:p>
    <w:p w:rsidR="00292FE6" w:rsidRPr="00292FE6" w:rsidRDefault="007203A3" w:rsidP="00292FE6">
      <w:pPr>
        <w:autoSpaceDE w:val="0"/>
        <w:spacing w:line="36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bCs/>
          <w:color w:val="000000" w:themeColor="text1"/>
          <w:lang w:val="bg-BG"/>
        </w:rPr>
        <w:t>Б</w:t>
      </w:r>
      <w:r w:rsidR="00292FE6" w:rsidRPr="00292FE6">
        <w:rPr>
          <w:rFonts w:ascii="Arial" w:hAnsi="Arial" w:cs="Arial"/>
          <w:bCs/>
          <w:color w:val="000000" w:themeColor="text1"/>
          <w:lang w:val="bg-BG"/>
        </w:rPr>
        <w:t>лизо</w:t>
      </w:r>
      <w:r w:rsidR="00292FE6" w:rsidRPr="00292FE6">
        <w:rPr>
          <w:rFonts w:ascii="Arial" w:hAnsi="Arial" w:cs="Arial"/>
          <w:b/>
          <w:bCs/>
          <w:color w:val="C00000"/>
          <w:lang w:val="bg-BG"/>
        </w:rPr>
        <w:t xml:space="preserve"> 3 млрд. лева</w:t>
      </w:r>
      <w:r w:rsidR="00292FE6" w:rsidRPr="00292FE6">
        <w:rPr>
          <w:rFonts w:ascii="Arial" w:hAnsi="Arial" w:cs="Arial"/>
          <w:color w:val="C00000"/>
          <w:lang w:val="bg-BG"/>
        </w:rPr>
        <w:t xml:space="preserve"> </w:t>
      </w:r>
      <w:r w:rsidR="00292FE6" w:rsidRPr="00292FE6">
        <w:rPr>
          <w:rFonts w:ascii="Arial" w:hAnsi="Arial" w:cs="Arial"/>
          <w:color w:val="000000"/>
          <w:lang w:val="bg-BG"/>
        </w:rPr>
        <w:t xml:space="preserve">произведена продукция – </w:t>
      </w:r>
      <w:r w:rsidR="00292FE6" w:rsidRPr="00292FE6">
        <w:rPr>
          <w:rFonts w:ascii="Arial" w:hAnsi="Arial" w:cs="Arial"/>
          <w:b/>
          <w:color w:val="C00000"/>
          <w:lang w:val="bg-BG"/>
        </w:rPr>
        <w:t>3,6 %</w:t>
      </w:r>
      <w:r w:rsidR="00292FE6" w:rsidRPr="00292FE6">
        <w:rPr>
          <w:rFonts w:ascii="Arial" w:hAnsi="Arial" w:cs="Arial"/>
          <w:color w:val="C00000"/>
          <w:lang w:val="bg-BG"/>
        </w:rPr>
        <w:t xml:space="preserve"> </w:t>
      </w:r>
      <w:r w:rsidR="00292FE6" w:rsidRPr="00292FE6">
        <w:rPr>
          <w:rFonts w:ascii="Arial" w:hAnsi="Arial" w:cs="Arial"/>
          <w:color w:val="000000"/>
          <w:lang w:val="bg-BG"/>
        </w:rPr>
        <w:t xml:space="preserve">от общата за промишлеността, </w:t>
      </w:r>
      <w:r w:rsidR="00292FE6" w:rsidRPr="00292FE6">
        <w:rPr>
          <w:rFonts w:ascii="Arial" w:hAnsi="Arial" w:cs="Arial"/>
          <w:b/>
          <w:bCs/>
          <w:color w:val="C00000"/>
          <w:lang w:val="bg-BG"/>
        </w:rPr>
        <w:t>5%</w:t>
      </w:r>
      <w:r w:rsidR="00292FE6" w:rsidRPr="00292FE6">
        <w:rPr>
          <w:rFonts w:ascii="Arial" w:hAnsi="Arial" w:cs="Arial"/>
          <w:color w:val="000000"/>
          <w:lang w:val="bg-BG"/>
        </w:rPr>
        <w:t xml:space="preserve"> от БВП.</w:t>
      </w:r>
    </w:p>
    <w:p w:rsidR="00292FE6" w:rsidRPr="00292FE6" w:rsidRDefault="00292FE6" w:rsidP="00292FE6">
      <w:pPr>
        <w:autoSpaceDE w:val="0"/>
        <w:spacing w:line="360" w:lineRule="auto"/>
        <w:jc w:val="both"/>
        <w:rPr>
          <w:rFonts w:ascii="Arial" w:hAnsi="Arial" w:cs="Arial"/>
          <w:color w:val="000000"/>
          <w:lang w:val="bg-BG"/>
        </w:rPr>
      </w:pPr>
      <w:r w:rsidRPr="00292FE6">
        <w:rPr>
          <w:rFonts w:ascii="Arial" w:hAnsi="Arial" w:cs="Arial"/>
          <w:b/>
          <w:bCs/>
          <w:color w:val="C00000"/>
          <w:lang w:val="bg-BG"/>
        </w:rPr>
        <w:t>1,3 млрд. лева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color w:val="000000"/>
          <w:lang w:val="bg-BG"/>
        </w:rPr>
        <w:t xml:space="preserve">добавена стойност – </w:t>
      </w:r>
      <w:r w:rsidRPr="00292FE6">
        <w:rPr>
          <w:rFonts w:ascii="Arial" w:hAnsi="Arial" w:cs="Arial"/>
          <w:b/>
          <w:color w:val="C00000"/>
          <w:lang w:val="bg-BG"/>
        </w:rPr>
        <w:t>6,3%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color w:val="000000"/>
          <w:lang w:val="bg-BG"/>
        </w:rPr>
        <w:t xml:space="preserve">от БДС на промишлеността </w:t>
      </w:r>
    </w:p>
    <w:p w:rsidR="00292FE6" w:rsidRPr="00292FE6" w:rsidRDefault="00292FE6" w:rsidP="00292FE6">
      <w:pPr>
        <w:autoSpaceDE w:val="0"/>
        <w:spacing w:line="360" w:lineRule="auto"/>
        <w:jc w:val="both"/>
        <w:rPr>
          <w:rFonts w:ascii="Arial" w:hAnsi="Arial" w:cs="Arial"/>
          <w:color w:val="000000"/>
          <w:lang w:val="bg-BG"/>
        </w:rPr>
      </w:pPr>
      <w:r w:rsidRPr="00292FE6">
        <w:rPr>
          <w:rFonts w:ascii="Arial" w:hAnsi="Arial" w:cs="Arial"/>
          <w:bCs/>
          <w:color w:val="000000" w:themeColor="text1"/>
          <w:lang w:val="bg-BG"/>
        </w:rPr>
        <w:t>над</w:t>
      </w:r>
      <w:r w:rsidRPr="00292FE6">
        <w:rPr>
          <w:rFonts w:ascii="Arial" w:hAnsi="Arial" w:cs="Arial"/>
          <w:b/>
          <w:bCs/>
          <w:color w:val="C00000"/>
          <w:lang w:val="bg-BG"/>
        </w:rPr>
        <w:t xml:space="preserve"> 6 млрд. лева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lang w:val="bg-BG"/>
        </w:rPr>
        <w:t>износ на индустриални минерали и метални суровини</w:t>
      </w:r>
      <w:r w:rsidRPr="00292FE6">
        <w:rPr>
          <w:rFonts w:ascii="Arial" w:hAnsi="Arial" w:cs="Arial"/>
          <w:color w:val="000000"/>
          <w:lang w:val="bg-BG"/>
        </w:rPr>
        <w:t xml:space="preserve"> – </w:t>
      </w:r>
      <w:r w:rsidRPr="00292FE6">
        <w:rPr>
          <w:rFonts w:ascii="Arial" w:hAnsi="Arial" w:cs="Arial"/>
          <w:b/>
          <w:color w:val="C00000"/>
          <w:lang w:val="bg-BG"/>
        </w:rPr>
        <w:t>3,5 %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color w:val="000000"/>
          <w:lang w:val="bg-BG"/>
        </w:rPr>
        <w:t xml:space="preserve">от стоковия износ </w:t>
      </w:r>
      <w:bookmarkStart w:id="0" w:name="_GoBack"/>
      <w:bookmarkEnd w:id="0"/>
    </w:p>
    <w:p w:rsidR="00292FE6" w:rsidRPr="00292FE6" w:rsidRDefault="00292FE6" w:rsidP="00292FE6">
      <w:pPr>
        <w:autoSpaceDE w:val="0"/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b/>
          <w:bCs/>
          <w:color w:val="C00000"/>
          <w:lang w:val="bg-BG"/>
        </w:rPr>
        <w:t>22 хил. души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color w:val="000000"/>
          <w:lang w:val="bg-BG"/>
        </w:rPr>
        <w:t xml:space="preserve">пряко заети, близо </w:t>
      </w:r>
      <w:r w:rsidRPr="00292FE6">
        <w:rPr>
          <w:rFonts w:ascii="Arial" w:hAnsi="Arial" w:cs="Arial"/>
          <w:b/>
          <w:bCs/>
          <w:color w:val="C00000"/>
          <w:lang w:val="bg-BG"/>
        </w:rPr>
        <w:t>120 х</w:t>
      </w:r>
      <w:r w:rsidRPr="00292FE6">
        <w:rPr>
          <w:rFonts w:ascii="Arial" w:hAnsi="Arial" w:cs="Arial"/>
          <w:b/>
          <w:color w:val="C00000"/>
          <w:lang w:val="bg-BG"/>
        </w:rPr>
        <w:t>ил.</w:t>
      </w:r>
      <w:r w:rsidRPr="00292FE6">
        <w:rPr>
          <w:rFonts w:ascii="Arial" w:hAnsi="Arial" w:cs="Arial"/>
          <w:color w:val="C00000"/>
          <w:lang w:val="bg-BG"/>
        </w:rPr>
        <w:t xml:space="preserve"> </w:t>
      </w:r>
      <w:r w:rsidRPr="00292FE6">
        <w:rPr>
          <w:rFonts w:ascii="Arial" w:hAnsi="Arial" w:cs="Arial"/>
          <w:color w:val="000000"/>
          <w:lang w:val="bg-BG"/>
        </w:rPr>
        <w:t>допълнителни работни места в свързани дейности</w:t>
      </w:r>
      <w:r w:rsidRPr="00292FE6">
        <w:rPr>
          <w:rFonts w:ascii="Arial" w:hAnsi="Arial" w:cs="Arial"/>
          <w:lang w:val="bg-BG"/>
        </w:rPr>
        <w:t xml:space="preserve"> </w:t>
      </w:r>
    </w:p>
    <w:p w:rsidR="00292FE6" w:rsidRPr="00292FE6" w:rsidRDefault="00292FE6" w:rsidP="00292FE6">
      <w:pPr>
        <w:autoSpaceDE w:val="0"/>
        <w:spacing w:before="240" w:line="300" w:lineRule="auto"/>
        <w:jc w:val="both"/>
        <w:rPr>
          <w:rFonts w:ascii="Arial" w:hAnsi="Arial" w:cs="Arial"/>
          <w:b/>
          <w:i/>
          <w:lang w:val="bg-BG"/>
        </w:rPr>
      </w:pPr>
      <w:proofErr w:type="spellStart"/>
      <w:r w:rsidRPr="00292FE6">
        <w:rPr>
          <w:rFonts w:ascii="Arial" w:hAnsi="Arial" w:cs="Arial"/>
          <w:b/>
          <w:i/>
          <w:color w:val="000000"/>
          <w:lang w:val="bg-BG"/>
        </w:rPr>
        <w:t>Добивната</w:t>
      </w:r>
      <w:proofErr w:type="spellEnd"/>
      <w:r w:rsidRPr="00292FE6">
        <w:rPr>
          <w:rFonts w:ascii="Arial" w:hAnsi="Arial" w:cs="Arial"/>
          <w:b/>
          <w:i/>
          <w:color w:val="000000"/>
          <w:lang w:val="bg-BG"/>
        </w:rPr>
        <w:t xml:space="preserve"> промишленост заема челни позиции в европейския добив на суровини, като:</w:t>
      </w:r>
    </w:p>
    <w:p w:rsidR="00292FE6" w:rsidRPr="00292FE6" w:rsidRDefault="00292FE6" w:rsidP="00292FE6">
      <w:pPr>
        <w:pStyle w:val="aa"/>
        <w:numPr>
          <w:ilvl w:val="0"/>
          <w:numId w:val="3"/>
        </w:numPr>
        <w:autoSpaceDE w:val="0"/>
        <w:autoSpaceDN w:val="0"/>
        <w:spacing w:after="0" w:line="360" w:lineRule="auto"/>
        <w:ind w:left="0" w:firstLine="420"/>
        <w:contextualSpacing w:val="0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292FE6">
        <w:rPr>
          <w:rFonts w:ascii="Arial" w:hAnsi="Arial" w:cs="Arial"/>
          <w:b/>
          <w:bCs/>
          <w:color w:val="C00000"/>
          <w:sz w:val="24"/>
          <w:szCs w:val="24"/>
        </w:rPr>
        <w:t>трето място по добив на медни суровини</w:t>
      </w:r>
    </w:p>
    <w:p w:rsidR="00292FE6" w:rsidRPr="00292FE6" w:rsidRDefault="00292FE6" w:rsidP="00292FE6">
      <w:pPr>
        <w:pStyle w:val="aa"/>
        <w:numPr>
          <w:ilvl w:val="0"/>
          <w:numId w:val="3"/>
        </w:numPr>
        <w:autoSpaceDE w:val="0"/>
        <w:autoSpaceDN w:val="0"/>
        <w:spacing w:after="0" w:line="360" w:lineRule="auto"/>
        <w:ind w:left="0" w:firstLine="420"/>
        <w:contextualSpacing w:val="0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292FE6">
        <w:rPr>
          <w:rFonts w:ascii="Arial" w:hAnsi="Arial" w:cs="Arial"/>
          <w:b/>
          <w:bCs/>
          <w:color w:val="C00000"/>
          <w:sz w:val="24"/>
          <w:szCs w:val="24"/>
        </w:rPr>
        <w:t xml:space="preserve">четвърто място на </w:t>
      </w:r>
      <w:proofErr w:type="spellStart"/>
      <w:r w:rsidRPr="00292FE6">
        <w:rPr>
          <w:rFonts w:ascii="Arial" w:hAnsi="Arial" w:cs="Arial"/>
          <w:b/>
          <w:bCs/>
          <w:color w:val="C00000"/>
          <w:sz w:val="24"/>
          <w:szCs w:val="24"/>
        </w:rPr>
        <w:t>златосъдаржащи</w:t>
      </w:r>
      <w:proofErr w:type="spellEnd"/>
      <w:r w:rsidRPr="00292FE6">
        <w:rPr>
          <w:rFonts w:ascii="Arial" w:hAnsi="Arial" w:cs="Arial"/>
          <w:b/>
          <w:bCs/>
          <w:color w:val="C00000"/>
          <w:sz w:val="24"/>
          <w:szCs w:val="24"/>
        </w:rPr>
        <w:t xml:space="preserve"> руди и концентрати</w:t>
      </w:r>
    </w:p>
    <w:p w:rsidR="00292FE6" w:rsidRPr="00292FE6" w:rsidRDefault="00292FE6" w:rsidP="00292FE6">
      <w:pPr>
        <w:pStyle w:val="aa"/>
        <w:numPr>
          <w:ilvl w:val="0"/>
          <w:numId w:val="3"/>
        </w:numPr>
        <w:autoSpaceDE w:val="0"/>
        <w:autoSpaceDN w:val="0"/>
        <w:spacing w:after="0" w:line="360" w:lineRule="auto"/>
        <w:ind w:left="0" w:firstLine="420"/>
        <w:contextualSpacing w:val="0"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292FE6">
        <w:rPr>
          <w:rFonts w:ascii="Arial" w:hAnsi="Arial" w:cs="Arial"/>
          <w:b/>
          <w:bCs/>
          <w:color w:val="C00000"/>
          <w:sz w:val="24"/>
          <w:szCs w:val="24"/>
        </w:rPr>
        <w:t>пето място по добив на лигнитни въглища</w:t>
      </w:r>
    </w:p>
    <w:p w:rsidR="00292FE6" w:rsidRPr="00292FE6" w:rsidRDefault="00292FE6" w:rsidP="00292FE6">
      <w:pPr>
        <w:jc w:val="center"/>
        <w:rPr>
          <w:rFonts w:ascii="Arial" w:hAnsi="Arial" w:cs="Arial"/>
          <w:b/>
          <w:u w:val="single"/>
          <w:lang w:val="bg-BG"/>
        </w:rPr>
      </w:pPr>
      <w:r w:rsidRPr="00292FE6">
        <w:rPr>
          <w:rFonts w:ascii="Arial" w:hAnsi="Arial" w:cs="Arial"/>
          <w:b/>
          <w:u w:val="single"/>
          <w:lang w:val="bg-BG"/>
        </w:rPr>
        <w:lastRenderedPageBreak/>
        <w:t>ПРОБЛЕМНИ ТЕМИ</w:t>
      </w:r>
    </w:p>
    <w:p w:rsidR="00292FE6" w:rsidRPr="00292FE6" w:rsidRDefault="00292FE6" w:rsidP="00292FE6">
      <w:pPr>
        <w:ind w:firstLine="708"/>
        <w:jc w:val="center"/>
        <w:rPr>
          <w:rFonts w:ascii="Arial" w:hAnsi="Arial" w:cs="Arial"/>
          <w:b/>
          <w:u w:val="single"/>
          <w:lang w:val="bg-BG"/>
        </w:rPr>
      </w:pPr>
    </w:p>
    <w:p w:rsidR="00292FE6" w:rsidRPr="00292FE6" w:rsidRDefault="00292FE6" w:rsidP="00292FE6">
      <w:pPr>
        <w:pStyle w:val="aa"/>
        <w:numPr>
          <w:ilvl w:val="0"/>
          <w:numId w:val="2"/>
        </w:numPr>
        <w:ind w:left="709" w:hanging="425"/>
        <w:rPr>
          <w:rFonts w:ascii="Arial" w:hAnsi="Arial" w:cs="Arial"/>
          <w:b/>
          <w:sz w:val="24"/>
          <w:szCs w:val="24"/>
        </w:rPr>
      </w:pPr>
      <w:r w:rsidRPr="00292FE6">
        <w:rPr>
          <w:rFonts w:ascii="Arial" w:hAnsi="Arial" w:cs="Arial"/>
          <w:b/>
          <w:sz w:val="24"/>
          <w:szCs w:val="24"/>
        </w:rPr>
        <w:t>„Зелената сделка“ и отражението й върху икономиката на България.</w:t>
      </w:r>
    </w:p>
    <w:p w:rsidR="00A06CD6" w:rsidRPr="00A06CD6" w:rsidRDefault="00A06CD6" w:rsidP="00A06CD6">
      <w:pPr>
        <w:pStyle w:val="a3"/>
        <w:tabs>
          <w:tab w:val="clear" w:pos="9360"/>
          <w:tab w:val="right" w:pos="9923"/>
        </w:tabs>
        <w:spacing w:after="160" w:line="360" w:lineRule="auto"/>
        <w:ind w:right="-142"/>
        <w:jc w:val="both"/>
        <w:rPr>
          <w:rFonts w:ascii="Arial" w:hAnsi="Arial" w:cs="Arial"/>
          <w:szCs w:val="22"/>
          <w:lang w:val="bg-BG"/>
        </w:rPr>
      </w:pPr>
      <w:r w:rsidRPr="00A06CD6">
        <w:rPr>
          <w:rFonts w:ascii="Arial" w:hAnsi="Arial" w:cs="Arial"/>
          <w:szCs w:val="22"/>
          <w:lang w:val="bg-BG"/>
        </w:rPr>
        <w:t xml:space="preserve">Новият състав на ЕК презентира твърде амбициозни цели за намаляване на емисии на парникови газове, които ще се отразят и на енергетиката в България. </w:t>
      </w:r>
      <w:r w:rsidRPr="00A06CD6">
        <w:rPr>
          <w:rFonts w:ascii="Arial" w:hAnsi="Arial" w:cs="Arial"/>
          <w:b/>
          <w:szCs w:val="22"/>
          <w:lang w:val="bg-BG"/>
        </w:rPr>
        <w:t>Европейската комисия планира по години какви законодателни промени ще се правят</w:t>
      </w:r>
      <w:r w:rsidRPr="00A06CD6">
        <w:rPr>
          <w:rFonts w:ascii="Arial" w:hAnsi="Arial" w:cs="Arial"/>
          <w:szCs w:val="22"/>
          <w:lang w:val="bg-BG"/>
        </w:rPr>
        <w:t xml:space="preserve">. На първо място директивата, свързана с търговия с емисии ще даде отражение върху енергийния сектор. Второто нещо, което анонсира ЕК, е че ще се въведе минимална цена на емисиите. Поставят се и нови цели за енергийна ефективност и за ВЕИ. В тази връзка се търсят възможности да се защити енергийната сигурност на всяка държава, която ще е уязвима от промяната на законодателството. </w:t>
      </w:r>
    </w:p>
    <w:p w:rsidR="00A06CD6" w:rsidRPr="00A06CD6" w:rsidRDefault="00A06CD6" w:rsidP="00A06CD6">
      <w:pPr>
        <w:pStyle w:val="a3"/>
        <w:tabs>
          <w:tab w:val="clear" w:pos="9360"/>
          <w:tab w:val="right" w:pos="9923"/>
        </w:tabs>
        <w:spacing w:after="160" w:line="360" w:lineRule="auto"/>
        <w:ind w:right="-142"/>
        <w:jc w:val="both"/>
        <w:rPr>
          <w:rFonts w:ascii="Arial" w:eastAsia="Calibri" w:hAnsi="Arial" w:cs="Arial"/>
          <w:lang w:val="bg-BG"/>
        </w:rPr>
      </w:pPr>
      <w:r w:rsidRPr="00A06CD6">
        <w:rPr>
          <w:rFonts w:ascii="Arial" w:hAnsi="Arial" w:cs="Arial"/>
          <w:szCs w:val="22"/>
          <w:lang w:val="bg-BG"/>
        </w:rPr>
        <w:t xml:space="preserve">Ключов за енергетиката в страната е минно - енергиен комплекс Минни – Марица изток, осигуряващ 46% от ефективно работещи енергийни мощности, гарантиращи енергийна независимост, сигурност и електрическа енергия. </w:t>
      </w:r>
      <w:r w:rsidRPr="00A06CD6">
        <w:rPr>
          <w:rFonts w:ascii="Arial" w:eastAsia="Calibri" w:hAnsi="Arial" w:cs="Arial"/>
          <w:lang w:val="bg-BG"/>
        </w:rPr>
        <w:t xml:space="preserve">Българската минно - геоложка камара подкрепя, и защитава изцяло запазването на </w:t>
      </w:r>
      <w:r w:rsidRPr="00A06CD6">
        <w:rPr>
          <w:rFonts w:ascii="Arial" w:hAnsi="Arial" w:cs="Arial"/>
          <w:szCs w:val="22"/>
          <w:lang w:val="bg-BG"/>
        </w:rPr>
        <w:t>минно - енергиен комплекс Минни – Марица изток</w:t>
      </w:r>
      <w:r w:rsidRPr="00A06CD6">
        <w:rPr>
          <w:rFonts w:ascii="Arial" w:eastAsia="Calibri" w:hAnsi="Arial" w:cs="Arial"/>
          <w:lang w:val="bg-BG"/>
        </w:rPr>
        <w:t>, който гарантира конкурентно способността на промишлеността в България, през фокуса на конкурентните цени на електроенергията.</w:t>
      </w:r>
    </w:p>
    <w:p w:rsidR="00A06CD6" w:rsidRPr="00A06CD6" w:rsidRDefault="00A06CD6" w:rsidP="00A06CD6">
      <w:pPr>
        <w:tabs>
          <w:tab w:val="right" w:pos="9923"/>
        </w:tabs>
        <w:spacing w:line="360" w:lineRule="auto"/>
        <w:ind w:right="-142"/>
        <w:jc w:val="both"/>
        <w:rPr>
          <w:rFonts w:ascii="Arial" w:hAnsi="Arial" w:cs="Arial"/>
          <w:b/>
        </w:rPr>
      </w:pPr>
      <w:r w:rsidRPr="00A06CD6">
        <w:rPr>
          <w:rFonts w:ascii="Arial" w:hAnsi="Arial" w:cs="Arial"/>
          <w:b/>
        </w:rPr>
        <w:t>От изключителна важност за индустрията и по специално за минерално – суровинната е през следващите месеци е да се провеждат обществени дискусия и допитвания с работодателските и браншови организации по всички законодателни инициативи свързани със запазване на енергийната независимост на страната.  За формирането на политики и представяне на официални становища пред европейските институции, засягащи пряко дейността на индустрията, изразяваме готовност за подкрепа от съответните сектори в България, за да защитят икономическите интереси на страната.</w:t>
      </w:r>
    </w:p>
    <w:p w:rsidR="00292FE6" w:rsidRPr="00292FE6" w:rsidRDefault="00292FE6" w:rsidP="00292FE6">
      <w:pPr>
        <w:ind w:hanging="284"/>
        <w:jc w:val="center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pStyle w:val="aa"/>
        <w:numPr>
          <w:ilvl w:val="0"/>
          <w:numId w:val="2"/>
        </w:numPr>
        <w:ind w:left="851" w:hanging="425"/>
        <w:rPr>
          <w:rFonts w:ascii="Arial" w:hAnsi="Arial" w:cs="Arial"/>
          <w:b/>
          <w:sz w:val="24"/>
          <w:szCs w:val="24"/>
        </w:rPr>
      </w:pPr>
      <w:r w:rsidRPr="00292FE6">
        <w:rPr>
          <w:rFonts w:ascii="Arial" w:hAnsi="Arial" w:cs="Arial"/>
          <w:b/>
          <w:sz w:val="24"/>
          <w:szCs w:val="24"/>
        </w:rPr>
        <w:t>Компенсаторни механизми и политики, ЕСТЕ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lang w:val="bg-BG"/>
        </w:rPr>
        <w:t xml:space="preserve">През 2005 г. бе въведена Схема на ЕС за търговия с емисии на парникови газове (СТЕ на ЕС) с цел редуциране по разходно икономичен начин на емисиите на СО2 и противодействие на изменението на климата. </w:t>
      </w:r>
      <w:r w:rsidRPr="00292FE6">
        <w:rPr>
          <w:rFonts w:ascii="Arial" w:hAnsi="Arial" w:cs="Arial"/>
          <w:b/>
          <w:lang w:val="bg-BG"/>
        </w:rPr>
        <w:t>Директива 2009/29/ЕО  за изменение на Директива 2003/87/ЕО  (Директива за СТЕ) усъвършенства и разшири СТЕ на ЕС през третия период на търговия 2013—2020 г. (фаза 3)</w:t>
      </w:r>
      <w:r w:rsidRPr="00292FE6">
        <w:rPr>
          <w:rFonts w:ascii="Arial" w:hAnsi="Arial" w:cs="Arial"/>
          <w:lang w:val="bg-BG"/>
        </w:rPr>
        <w:t>.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b/>
          <w:lang w:val="bg-BG"/>
        </w:rPr>
        <w:lastRenderedPageBreak/>
        <w:t>Член 10а, параграф 6 на Директивата за СТЕ предвижда, че държавите членки могат да приемат финансови мерки в полза на отраслите или подотраслите, за които е преценено, че са изложени на значителен риск от „изтичане на въглерод“</w:t>
      </w:r>
      <w:r w:rsidRPr="00292FE6">
        <w:rPr>
          <w:rFonts w:ascii="Arial" w:hAnsi="Arial" w:cs="Arial"/>
          <w:lang w:val="bg-BG"/>
        </w:rPr>
        <w:t xml:space="preserve"> поради прехвърлянето на разходи по емисиите на парникови газове в цените на електроенергията („непреки разходи за емисии“), с цел да се компенсират тези разходи и когато тези финансови мерки съответстват на правила за държавните помощи.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lang w:val="bg-BG"/>
        </w:rPr>
        <w:t xml:space="preserve">На тази основа, през 2012 г. Комисията прие Насоки относно определени мерки за държавна помощ в контекста на схемата за търговия с квоти за емисии на парников газ след 2012 година („Насоки за СТЕ от 2012 г.“), които допускат държавите членки да компенсират някои предприятия с високо потребление на електроенергия, </w:t>
      </w:r>
      <w:r w:rsidRPr="00292FE6">
        <w:rPr>
          <w:rFonts w:ascii="Arial" w:hAnsi="Arial" w:cs="Arial"/>
          <w:lang w:val="bg-BG"/>
        </w:rPr>
        <w:t xml:space="preserve">осъществяващи дейност в отрасъл, изложен на международната търговия, за част от по-високите разходи за електроенергия, очаквани в резултат на СТЕ на ЕС през периода 2013—2020 г. На </w:t>
      </w:r>
      <w:r w:rsidRPr="00292FE6">
        <w:rPr>
          <w:rFonts w:ascii="Arial" w:hAnsi="Arial" w:cs="Arial"/>
          <w:b/>
          <w:i/>
          <w:lang w:val="bg-BG"/>
        </w:rPr>
        <w:t>Приложение 1</w:t>
      </w:r>
      <w:r w:rsidRPr="00292FE6">
        <w:rPr>
          <w:rFonts w:ascii="Arial" w:hAnsi="Arial" w:cs="Arial"/>
          <w:lang w:val="bg-BG"/>
        </w:rPr>
        <w:t xml:space="preserve"> са изброени допустимите икономически дейности, които са допустими за финансиране по схемата.</w:t>
      </w:r>
      <w:r w:rsidRPr="00292FE6">
        <w:rPr>
          <w:rFonts w:ascii="Arial" w:hAnsi="Arial" w:cs="Arial"/>
          <w:b/>
          <w:lang w:val="bg-BG"/>
        </w:rPr>
        <w:t xml:space="preserve"> 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lang w:val="bg-BG"/>
        </w:rPr>
        <w:t>За периода 2013 – 2020 г. основните икономически дейности свързани с добива на неметални руди са ИЗКЛЮЧЕНИ.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b/>
          <w:i/>
          <w:lang w:val="bg-BG"/>
        </w:rPr>
      </w:pPr>
      <w:r w:rsidRPr="00292FE6">
        <w:rPr>
          <w:rFonts w:ascii="Arial" w:hAnsi="Arial" w:cs="Arial"/>
          <w:lang w:val="bg-BG"/>
        </w:rPr>
        <w:t xml:space="preserve">През 2018 Директивата за СТЕ бе преработена за следващия период на търговия, а именно 2021—2030 г. (фаза 4), с приемането на Директива 2018/410 , за да се създаде възможност за постигането на целите на ЕС за намаление на емисиите до 2030 г. </w:t>
      </w:r>
      <w:r w:rsidRPr="00292FE6">
        <w:rPr>
          <w:rFonts w:ascii="Arial" w:hAnsi="Arial" w:cs="Arial"/>
          <w:b/>
          <w:lang w:val="bg-BG"/>
        </w:rPr>
        <w:t xml:space="preserve">В съображенията към новата Директива за ЕТС е публикуван нов разширен и предварителен списък от икономически дейности включващи добива на неметални руди. </w:t>
      </w:r>
      <w:r w:rsidRPr="00292FE6">
        <w:rPr>
          <w:rFonts w:ascii="Arial" w:hAnsi="Arial" w:cs="Arial"/>
          <w:b/>
          <w:i/>
          <w:lang w:val="bg-BG"/>
        </w:rPr>
        <w:t>Приложение 2</w:t>
      </w:r>
    </w:p>
    <w:p w:rsidR="00292FE6" w:rsidRPr="00292FE6" w:rsidRDefault="00292FE6" w:rsidP="00292FE6">
      <w:pPr>
        <w:spacing w:line="360" w:lineRule="auto"/>
        <w:ind w:firstLine="708"/>
        <w:jc w:val="both"/>
        <w:rPr>
          <w:rFonts w:ascii="Arial" w:hAnsi="Arial" w:cs="Arial"/>
          <w:lang w:val="bg-BG"/>
        </w:rPr>
      </w:pP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lang w:val="bg-BG"/>
        </w:rPr>
        <w:t>През 2019 година се проведе „</w:t>
      </w:r>
      <w:r w:rsidRPr="00292FE6">
        <w:rPr>
          <w:rFonts w:ascii="Arial" w:hAnsi="Arial" w:cs="Arial"/>
          <w:b/>
          <w:lang w:val="bg-BG"/>
        </w:rPr>
        <w:t>Целенасочени консултации със заинтересованите сектори относно преразглеждането на насоките за държавна помощ по СТЕ“. Целта на тази консултация е да се събере информация, позволяваща определянето на секторите, изложени на риск от изместване на въглеродни емисии, поради косвените разходи за емисии, с които се сблъскват.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lang w:val="bg-BG"/>
        </w:rPr>
      </w:pPr>
      <w:r w:rsidRPr="00292FE6">
        <w:rPr>
          <w:rFonts w:ascii="Arial" w:hAnsi="Arial" w:cs="Arial"/>
          <w:b/>
          <w:lang w:val="bg-BG"/>
        </w:rPr>
        <w:t>Резултатите от обществените консултации ще бъдат използвани от Комисията за да се определи интензивността на търговията и емисионната интензивност на секторите при изготвянето на Списъка със сектори</w:t>
      </w:r>
      <w:r w:rsidRPr="00292FE6">
        <w:rPr>
          <w:rFonts w:ascii="Arial" w:hAnsi="Arial" w:cs="Arial"/>
          <w:lang w:val="bg-BG"/>
        </w:rPr>
        <w:t>, изложени на риск от изместване на въглеродни емисии за периода 2021—2030 г.</w:t>
      </w:r>
    </w:p>
    <w:p w:rsidR="00292FE6" w:rsidRPr="00292FE6" w:rsidRDefault="00292FE6" w:rsidP="00292FE6">
      <w:pPr>
        <w:spacing w:line="360" w:lineRule="auto"/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lang w:val="bg-BG"/>
        </w:rPr>
        <w:lastRenderedPageBreak/>
        <w:t xml:space="preserve">От изключителна важност за минерално – суровинната индустрия в Р. България е запазването на икономическите дейности от </w:t>
      </w:r>
      <w:r w:rsidRPr="00292FE6">
        <w:rPr>
          <w:rFonts w:ascii="Arial" w:hAnsi="Arial" w:cs="Arial"/>
          <w:b/>
          <w:lang w:val="bg-BG"/>
        </w:rPr>
        <w:t xml:space="preserve">публикувания нов разширен и предварителен списък, а именно: 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0729 – добив на руди на цветни метали;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0891 – добив на минерални суровини;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0899 – добив на други неметални материали и суровини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0510 – добив на антрацитни и черни въглища;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0610 - добив на нефт;</w:t>
      </w:r>
    </w:p>
    <w:p w:rsidR="00292FE6" w:rsidRPr="00292FE6" w:rsidRDefault="00292FE6" w:rsidP="00292FE6">
      <w:pPr>
        <w:pStyle w:val="a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92FE6">
        <w:rPr>
          <w:rFonts w:ascii="Arial" w:hAnsi="Arial" w:cs="Arial"/>
          <w:sz w:val="24"/>
          <w:szCs w:val="24"/>
        </w:rPr>
        <w:t>код NACE: 0710 - добив на железни руди;</w:t>
      </w: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FE2948" w:rsidRPr="00292FE6" w:rsidRDefault="00FE2948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p w:rsidR="00292FE6" w:rsidRDefault="00FE2948" w:rsidP="00FE2948">
      <w:pPr>
        <w:spacing w:after="120"/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noProof/>
          <w:lang w:val="bg-BG" w:eastAsia="bg-BG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276860</wp:posOffset>
            </wp:positionV>
            <wp:extent cx="6105525" cy="82416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ИСЪК ДО 202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53" t="12425" r="15495" b="21290"/>
                    <a:stretch/>
                  </pic:blipFill>
                  <pic:spPr bwMode="auto">
                    <a:xfrm>
                      <a:off x="0" y="0"/>
                      <a:ext cx="6105525" cy="824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2FE6" w:rsidRPr="00292FE6">
        <w:rPr>
          <w:rFonts w:ascii="Arial" w:hAnsi="Arial" w:cs="Arial"/>
          <w:b/>
          <w:lang w:val="bg-BG"/>
        </w:rPr>
        <w:t>Приложение</w:t>
      </w:r>
      <w:r>
        <w:rPr>
          <w:rFonts w:ascii="Arial" w:hAnsi="Arial" w:cs="Arial"/>
          <w:b/>
          <w:lang w:val="bg-BG"/>
        </w:rPr>
        <w:t xml:space="preserve"> </w:t>
      </w:r>
      <w:r w:rsidR="00292FE6" w:rsidRPr="00292FE6">
        <w:rPr>
          <w:rFonts w:ascii="Arial" w:hAnsi="Arial" w:cs="Arial"/>
          <w:b/>
          <w:lang w:val="bg-BG"/>
        </w:rPr>
        <w:t>1</w:t>
      </w:r>
    </w:p>
    <w:p w:rsidR="00292FE6" w:rsidRPr="00292FE6" w:rsidRDefault="00D35C60" w:rsidP="00292FE6">
      <w:pPr>
        <w:jc w:val="both"/>
        <w:rPr>
          <w:rFonts w:ascii="Arial" w:hAnsi="Arial" w:cs="Arial"/>
          <w:b/>
          <w:lang w:val="bg-BG"/>
        </w:rPr>
      </w:pPr>
      <w:r w:rsidRPr="00292FE6">
        <w:rPr>
          <w:rFonts w:ascii="Arial" w:hAnsi="Arial" w:cs="Arial"/>
          <w:b/>
          <w:noProof/>
          <w:lang w:val="bg-BG" w:eastAsia="bg-BG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283210</wp:posOffset>
            </wp:positionV>
            <wp:extent cx="6211337" cy="80486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 from Pages from CO2 indirect cost 2021-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5" b="4953"/>
                    <a:stretch/>
                  </pic:blipFill>
                  <pic:spPr bwMode="auto">
                    <a:xfrm>
                      <a:off x="0" y="0"/>
                      <a:ext cx="6211337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2FE6" w:rsidRPr="00292FE6">
        <w:rPr>
          <w:rFonts w:ascii="Arial" w:hAnsi="Arial" w:cs="Arial"/>
          <w:b/>
          <w:lang w:val="bg-BG"/>
        </w:rPr>
        <w:t>Приложение 2</w:t>
      </w:r>
    </w:p>
    <w:p w:rsidR="00292FE6" w:rsidRPr="00292FE6" w:rsidRDefault="00292FE6" w:rsidP="00292FE6">
      <w:pPr>
        <w:jc w:val="both"/>
        <w:rPr>
          <w:rFonts w:ascii="Arial" w:hAnsi="Arial" w:cs="Arial"/>
          <w:b/>
          <w:lang w:val="bg-BG"/>
        </w:rPr>
      </w:pPr>
    </w:p>
    <w:sectPr w:rsidR="00292FE6" w:rsidRPr="00292FE6" w:rsidSect="00292FE6">
      <w:headerReference w:type="default" r:id="rId9"/>
      <w:footerReference w:type="default" r:id="rId10"/>
      <w:pgSz w:w="11900" w:h="16840"/>
      <w:pgMar w:top="1969" w:right="985" w:bottom="1440" w:left="993" w:header="344" w:footer="2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3EB" w:rsidRDefault="00B243EB" w:rsidP="008E4C1D">
      <w:r>
        <w:separator/>
      </w:r>
    </w:p>
  </w:endnote>
  <w:endnote w:type="continuationSeparator" w:id="0">
    <w:p w:rsidR="00B243EB" w:rsidRDefault="00B243EB" w:rsidP="008E4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6048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B96" w:rsidRDefault="000E1970">
        <w:pPr>
          <w:pStyle w:val="a5"/>
          <w:jc w:val="right"/>
        </w:pPr>
        <w:r>
          <w:fldChar w:fldCharType="begin"/>
        </w:r>
        <w:r w:rsidR="00716B96">
          <w:instrText xml:space="preserve"> PAGE   \* MERGEFORMAT </w:instrText>
        </w:r>
        <w:r>
          <w:fldChar w:fldCharType="separate"/>
        </w:r>
        <w:r w:rsidR="00D334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6E3D" w:rsidRDefault="00DC6E3D" w:rsidP="00594A45">
    <w:pPr>
      <w:pStyle w:val="a5"/>
      <w:ind w:left="-1276" w:right="-1186" w:hanging="16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3EB" w:rsidRDefault="00B243EB" w:rsidP="008E4C1D">
      <w:r>
        <w:separator/>
      </w:r>
    </w:p>
  </w:footnote>
  <w:footnote w:type="continuationSeparator" w:id="0">
    <w:p w:rsidR="00B243EB" w:rsidRDefault="00B243EB" w:rsidP="008E4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C1D" w:rsidRDefault="00BD6C4E" w:rsidP="00594A45">
    <w:pPr>
      <w:pStyle w:val="a3"/>
      <w:ind w:left="-1276" w:right="-1328" w:hanging="142"/>
      <w:jc w:val="center"/>
    </w:pPr>
    <w:r>
      <w:rPr>
        <w:noProof/>
        <w:lang w:val="bg-BG" w:eastAsia="bg-BG"/>
      </w:rPr>
      <w:drawing>
        <wp:inline distT="0" distB="0" distL="0" distR="0">
          <wp:extent cx="7158877" cy="824346"/>
          <wp:effectExtent l="0" t="0" r="4445" b="0"/>
          <wp:docPr id="19" name="Picture 19" descr="Blanka_BMGK_2017_BG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lanka_BMGK_2017_BG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7731" cy="864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457C1"/>
    <w:multiLevelType w:val="hybridMultilevel"/>
    <w:tmpl w:val="36581A14"/>
    <w:lvl w:ilvl="0" w:tplc="E1E256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C2078"/>
    <w:multiLevelType w:val="hybridMultilevel"/>
    <w:tmpl w:val="99F83B38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69AE1670"/>
    <w:multiLevelType w:val="hybridMultilevel"/>
    <w:tmpl w:val="001226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E4C1D"/>
    <w:rsid w:val="00004846"/>
    <w:rsid w:val="000239E8"/>
    <w:rsid w:val="000361F9"/>
    <w:rsid w:val="00036B16"/>
    <w:rsid w:val="00041C7B"/>
    <w:rsid w:val="00046BD2"/>
    <w:rsid w:val="00065805"/>
    <w:rsid w:val="000D3D4B"/>
    <w:rsid w:val="000E1970"/>
    <w:rsid w:val="000F7F3B"/>
    <w:rsid w:val="00106BF4"/>
    <w:rsid w:val="001128B7"/>
    <w:rsid w:val="00115C31"/>
    <w:rsid w:val="0019370F"/>
    <w:rsid w:val="0019790B"/>
    <w:rsid w:val="001A339C"/>
    <w:rsid w:val="001F42CB"/>
    <w:rsid w:val="00222B21"/>
    <w:rsid w:val="00234B09"/>
    <w:rsid w:val="00255403"/>
    <w:rsid w:val="00260F0B"/>
    <w:rsid w:val="00292FE6"/>
    <w:rsid w:val="003074DD"/>
    <w:rsid w:val="003269C2"/>
    <w:rsid w:val="003904A4"/>
    <w:rsid w:val="003A626E"/>
    <w:rsid w:val="00487D2B"/>
    <w:rsid w:val="004D67E6"/>
    <w:rsid w:val="004E4FD5"/>
    <w:rsid w:val="004E7548"/>
    <w:rsid w:val="00594A45"/>
    <w:rsid w:val="005A0A4C"/>
    <w:rsid w:val="005B1807"/>
    <w:rsid w:val="005D5E7F"/>
    <w:rsid w:val="005D70CB"/>
    <w:rsid w:val="005F4AD1"/>
    <w:rsid w:val="00627B2C"/>
    <w:rsid w:val="00632810"/>
    <w:rsid w:val="00683F65"/>
    <w:rsid w:val="00716B96"/>
    <w:rsid w:val="007203A3"/>
    <w:rsid w:val="00721FF8"/>
    <w:rsid w:val="00737BB2"/>
    <w:rsid w:val="00743BF8"/>
    <w:rsid w:val="0074550C"/>
    <w:rsid w:val="00754F05"/>
    <w:rsid w:val="0078053F"/>
    <w:rsid w:val="00785534"/>
    <w:rsid w:val="007B1C23"/>
    <w:rsid w:val="007C6EAB"/>
    <w:rsid w:val="007F3DD3"/>
    <w:rsid w:val="00813925"/>
    <w:rsid w:val="00890D9C"/>
    <w:rsid w:val="008A5CAD"/>
    <w:rsid w:val="008D11F1"/>
    <w:rsid w:val="008E4933"/>
    <w:rsid w:val="008E4C1D"/>
    <w:rsid w:val="008F1550"/>
    <w:rsid w:val="00955410"/>
    <w:rsid w:val="009D77EA"/>
    <w:rsid w:val="009E1B18"/>
    <w:rsid w:val="009E69A4"/>
    <w:rsid w:val="00A043A7"/>
    <w:rsid w:val="00A06CD6"/>
    <w:rsid w:val="00A16635"/>
    <w:rsid w:val="00A24B58"/>
    <w:rsid w:val="00A373FC"/>
    <w:rsid w:val="00A4041D"/>
    <w:rsid w:val="00AA32D0"/>
    <w:rsid w:val="00B243EB"/>
    <w:rsid w:val="00B34BD1"/>
    <w:rsid w:val="00B5219D"/>
    <w:rsid w:val="00B91A41"/>
    <w:rsid w:val="00BA3155"/>
    <w:rsid w:val="00BD6C4E"/>
    <w:rsid w:val="00C10F29"/>
    <w:rsid w:val="00C22A71"/>
    <w:rsid w:val="00C45A5E"/>
    <w:rsid w:val="00C45BF5"/>
    <w:rsid w:val="00C4744A"/>
    <w:rsid w:val="00CD6664"/>
    <w:rsid w:val="00D3345E"/>
    <w:rsid w:val="00D35C60"/>
    <w:rsid w:val="00D94FD6"/>
    <w:rsid w:val="00DA7A31"/>
    <w:rsid w:val="00DC6E3D"/>
    <w:rsid w:val="00DC7528"/>
    <w:rsid w:val="00DE0DE8"/>
    <w:rsid w:val="00DE6A30"/>
    <w:rsid w:val="00E633D9"/>
    <w:rsid w:val="00E77130"/>
    <w:rsid w:val="00E918D5"/>
    <w:rsid w:val="00E92894"/>
    <w:rsid w:val="00F23738"/>
    <w:rsid w:val="00F25339"/>
    <w:rsid w:val="00F31330"/>
    <w:rsid w:val="00F46303"/>
    <w:rsid w:val="00F56DB5"/>
    <w:rsid w:val="00F84A54"/>
    <w:rsid w:val="00FC1FBB"/>
    <w:rsid w:val="00FD53EC"/>
    <w:rsid w:val="00FE2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E4C1D"/>
    <w:pPr>
      <w:tabs>
        <w:tab w:val="center" w:pos="4680"/>
        <w:tab w:val="right" w:pos="9360"/>
      </w:tabs>
    </w:pPr>
  </w:style>
  <w:style w:type="character" w:customStyle="1" w:styleId="a4">
    <w:name w:val="Горен колонтитул Знак"/>
    <w:basedOn w:val="a0"/>
    <w:link w:val="a3"/>
    <w:rsid w:val="008E4C1D"/>
  </w:style>
  <w:style w:type="paragraph" w:styleId="a5">
    <w:name w:val="footer"/>
    <w:basedOn w:val="a"/>
    <w:link w:val="a6"/>
    <w:uiPriority w:val="99"/>
    <w:unhideWhenUsed/>
    <w:rsid w:val="008E4C1D"/>
    <w:pPr>
      <w:tabs>
        <w:tab w:val="center" w:pos="4680"/>
        <w:tab w:val="right" w:pos="9360"/>
      </w:tabs>
    </w:pPr>
  </w:style>
  <w:style w:type="character" w:customStyle="1" w:styleId="a6">
    <w:name w:val="Долен колонтитул Знак"/>
    <w:basedOn w:val="a0"/>
    <w:link w:val="a5"/>
    <w:uiPriority w:val="99"/>
    <w:rsid w:val="008E4C1D"/>
  </w:style>
  <w:style w:type="character" w:styleId="a7">
    <w:name w:val="Hyperlink"/>
    <w:rsid w:val="0074550C"/>
    <w:rPr>
      <w:color w:val="0000FF"/>
      <w:u w:val="single"/>
    </w:rPr>
  </w:style>
  <w:style w:type="paragraph" w:styleId="a8">
    <w:name w:val="Normal (Web)"/>
    <w:basedOn w:val="a"/>
    <w:unhideWhenUsed/>
    <w:rsid w:val="00A043A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table" w:styleId="a9">
    <w:name w:val="Table Grid"/>
    <w:basedOn w:val="a1"/>
    <w:rsid w:val="00E92894"/>
    <w:rPr>
      <w:rFonts w:ascii="Times New Roman" w:eastAsia="Times New Roman" w:hAnsi="Times New Roman" w:cs="Times New Roman"/>
      <w:sz w:val="20"/>
      <w:szCs w:val="20"/>
      <w:lang w:val="bg-BG"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qFormat/>
    <w:rsid w:val="00292FE6"/>
    <w:pPr>
      <w:spacing w:after="160" w:line="259" w:lineRule="auto"/>
      <w:ind w:left="720"/>
      <w:contextualSpacing/>
    </w:pPr>
    <w:rPr>
      <w:sz w:val="22"/>
      <w:szCs w:val="22"/>
      <w:lang w:val="bg-BG"/>
    </w:rPr>
  </w:style>
  <w:style w:type="paragraph" w:styleId="ab">
    <w:name w:val="Balloon Text"/>
    <w:basedOn w:val="a"/>
    <w:link w:val="ac"/>
    <w:uiPriority w:val="99"/>
    <w:semiHidden/>
    <w:unhideWhenUsed/>
    <w:rsid w:val="00A06CD6"/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A06C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2020-01-17T08:05:00Z</cp:lastPrinted>
  <dcterms:created xsi:type="dcterms:W3CDTF">2020-01-20T13:29:00Z</dcterms:created>
  <dcterms:modified xsi:type="dcterms:W3CDTF">2020-01-20T13:29:00Z</dcterms:modified>
</cp:coreProperties>
</file>